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3239" w14:textId="77777777" w:rsidR="006E1FA8" w:rsidRPr="006E1FA8" w:rsidRDefault="006E1FA8" w:rsidP="006E1FA8">
      <w:pPr>
        <w:pStyle w:val="Heading2"/>
        <w:rPr>
          <w:rFonts w:ascii="Calibri" w:eastAsiaTheme="minorHAnsi" w:hAnsi="Calibri" w:cs="Calibri"/>
          <w:b w:val="0"/>
          <w:color w:val="auto"/>
          <w:lang w:val="en-US"/>
        </w:rPr>
      </w:pPr>
      <w:r w:rsidRPr="006E1FA8">
        <w:rPr>
          <w:rFonts w:eastAsiaTheme="minorHAnsi"/>
          <w:color w:val="auto"/>
        </w:rPr>
        <w:t>RPL Colleague Testimonial Form</w:t>
      </w:r>
      <w:r w:rsidRPr="006E1FA8">
        <w:rPr>
          <w:rFonts w:ascii="Calibri" w:eastAsiaTheme="minorHAnsi" w:hAnsi="Calibri" w:cs="Calibri"/>
          <w:b w:val="0"/>
          <w:color w:val="auto"/>
        </w:rPr>
        <w:tab/>
      </w:r>
      <w:r w:rsidRPr="006E1FA8">
        <w:rPr>
          <w:rFonts w:ascii="Calibri" w:eastAsiaTheme="minorHAnsi" w:hAnsi="Calibri" w:cs="Calibri"/>
          <w:b w:val="0"/>
          <w:color w:val="auto"/>
        </w:rPr>
        <w:tab/>
      </w:r>
    </w:p>
    <w:p w14:paraId="345F7C0A" w14:textId="77777777" w:rsidR="006E1FA8" w:rsidRPr="006E1FA8" w:rsidRDefault="006E1FA8" w:rsidP="006E1FA8">
      <w:pPr>
        <w:pStyle w:val="EmphasisItalics"/>
        <w:rPr>
          <w:color w:val="auto"/>
          <w:sz w:val="24"/>
          <w:szCs w:val="22"/>
        </w:rPr>
      </w:pPr>
      <w:r w:rsidRPr="006E1FA8">
        <w:rPr>
          <w:b/>
          <w:bCs/>
          <w:color w:val="auto"/>
          <w:sz w:val="24"/>
          <w:szCs w:val="22"/>
        </w:rPr>
        <w:t>11020NAT</w:t>
      </w:r>
      <w:r w:rsidRPr="006E1FA8">
        <w:rPr>
          <w:color w:val="auto"/>
          <w:sz w:val="24"/>
          <w:szCs w:val="22"/>
        </w:rPr>
        <w:t xml:space="preserve"> – Diploma of English Language Teaching (TESOL)</w:t>
      </w:r>
    </w:p>
    <w:p w14:paraId="4E266279" w14:textId="77777777" w:rsidR="006E1FA8" w:rsidRDefault="006E1FA8" w:rsidP="006E1FA8">
      <w:pPr>
        <w:pStyle w:val="PTANormal"/>
      </w:pPr>
      <w:r>
        <w:rPr>
          <w:b/>
          <w:bCs/>
        </w:rPr>
        <w:t>To whom it may concern:</w:t>
      </w:r>
      <w:r>
        <w:t xml:space="preserve"> The person named below is applying for Recognition of Prior Learning for the Lti Diploma of English Language Teaching TESOL. Your testimonial may assist them (the RPL Candidate / Student) in providing evidence to us that relates to this qualification. You may be currently working with the candidate, or this may have occurred in the past. </w:t>
      </w:r>
    </w:p>
    <w:p w14:paraId="319CA9CE" w14:textId="77777777" w:rsidR="006E1FA8" w:rsidRDefault="006E1FA8" w:rsidP="006E1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57"/>
        <w:gridCol w:w="5145"/>
        <w:gridCol w:w="15"/>
      </w:tblGrid>
      <w:tr w:rsidR="006E1FA8" w14:paraId="1AFF2EBA" w14:textId="77777777" w:rsidTr="006E1FA8">
        <w:trPr>
          <w:trHeight w:val="567"/>
          <w:tblHeader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2B0240" w14:textId="77777777" w:rsidR="006E1FA8" w:rsidRDefault="006E1FA8">
            <w:pPr>
              <w:spacing w:line="240" w:lineRule="auto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270236DB" w14:textId="77777777" w:rsidR="006E1FA8" w:rsidRDefault="006E1FA8">
            <w:pPr>
              <w:spacing w:line="240" w:lineRule="auto"/>
              <w:rPr>
                <w:sz w:val="28"/>
                <w:szCs w:val="36"/>
              </w:rPr>
            </w:pPr>
          </w:p>
        </w:tc>
      </w:tr>
      <w:tr w:rsidR="006E1FA8" w14:paraId="7F73D267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4DC4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Colleague: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8A43AE2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7B89BC16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59D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0B8C5D0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5FC3ED54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E30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F1E7D90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2E78A375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9E8E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Organisation in which the colleague worked with the candidate: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6F3B521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535038FA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BA1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FB08E4F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74A3B798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A536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Period(s) of time that the candidate worked with the colleague</w:t>
            </w:r>
            <w:r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F1CF304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2005EF82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2593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Colleague’s role / job title / position in the organisation while working with the candidate: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DF94CD9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627AD2BF" w14:textId="77777777" w:rsidTr="006E1FA8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D6E" w14:textId="77777777" w:rsidR="006E1FA8" w:rsidRDefault="006E1FA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7EFB837" w14:textId="77777777" w:rsidR="006E1FA8" w:rsidRDefault="006E1F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1FA8" w14:paraId="04A92BFA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CF24" w14:textId="77777777" w:rsidR="006E1FA8" w:rsidRDefault="006E1FA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652E" w14:textId="77777777" w:rsidR="006E1FA8" w:rsidRDefault="006E1FA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COLLEAGUE TO COMPLETE THE FOLLOWING WITH RESPECT TO THE CANDIDATE:</w:t>
            </w:r>
          </w:p>
          <w:p w14:paraId="505C6C07" w14:textId="77777777" w:rsidR="006E1FA8" w:rsidRDefault="006E1FA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sz w:val="20"/>
                <w:szCs w:val="20"/>
              </w:rPr>
              <w:t xml:space="preserve"> I verify that this candidate </w:t>
            </w:r>
            <w:r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  <w:r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6E1FA8" w14:paraId="25459178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908CAB8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D7D4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6E1FA8" w14:paraId="0B9117BD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8EA7DEF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5C1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6E1FA8" w14:paraId="6B532BC8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8487358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DF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6E1FA8" w14:paraId="6191F89E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0C39A8E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004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6E1FA8" w14:paraId="31CBABE2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7FBA3F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D0AF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6E1FA8" w14:paraId="03DFA3BD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D8DBC90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DABE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6E1FA8" w14:paraId="2495F959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5992EC0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237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6E1FA8" w14:paraId="2937145F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88B9E5B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C66E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6E1FA8" w14:paraId="277E6641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1155302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4D0A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6E1FA8" w14:paraId="5881157E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7259B7D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D603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6E1FA8" w14:paraId="5C6E8EFD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B226BE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2A54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6E1FA8" w14:paraId="4FFAEFAC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8705BC6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88EF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6E1FA8" w14:paraId="62911A3A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8C971D3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8B6A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6E1FA8" w14:paraId="1DF972CB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3A8102A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071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6E1FA8" w14:paraId="0EEFAFDF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5B59823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7A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6E1FA8" w14:paraId="7C6DDD27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C3ACA11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AFAA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6E1FA8" w14:paraId="3D05CB0A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DCA1D8D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71C7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 teach English using technology-based tools or activities</w:t>
            </w:r>
          </w:p>
        </w:tc>
      </w:tr>
      <w:tr w:rsidR="006E1FA8" w14:paraId="1FBE1D82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24B2044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E2E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uses appropriate TESOL methodologies for different situations and specific learning goals</w:t>
            </w:r>
          </w:p>
        </w:tc>
      </w:tr>
      <w:tr w:rsidR="006E1FA8" w14:paraId="07A3A74C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B7ED30D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76DC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analyses ESL students’ learning needs</w:t>
            </w:r>
          </w:p>
        </w:tc>
      </w:tr>
      <w:tr w:rsidR="006E1FA8" w14:paraId="6AB99B7E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C55CC21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C655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develops ESL syllabus plans to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identified training needs</w:t>
            </w:r>
          </w:p>
        </w:tc>
      </w:tr>
      <w:tr w:rsidR="006E1FA8" w14:paraId="380A3AE0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D8F3146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37FA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designs and develops a series of cohesive ESL lessons</w:t>
            </w:r>
          </w:p>
        </w:tc>
      </w:tr>
      <w:tr w:rsidR="006E1FA8" w14:paraId="5F01908E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B818108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120F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designs and implements ESL assessment items, and records results from same</w:t>
            </w:r>
          </w:p>
        </w:tc>
      </w:tr>
      <w:tr w:rsidR="006E1FA8" w14:paraId="4E3EE95A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A137FE3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B4F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reviews and evaluates syllabus documents, own lessons, and assessment items </w:t>
            </w:r>
          </w:p>
        </w:tc>
      </w:tr>
      <w:tr w:rsidR="006E1FA8" w14:paraId="62D673DB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E8B11DD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1E8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develops listening, speaking, reading and writing skills for participation in academic contexts,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university, TAFE, etc</w:t>
            </w:r>
          </w:p>
        </w:tc>
      </w:tr>
      <w:tr w:rsidR="006E1FA8" w14:paraId="7BE750F4" w14:textId="77777777" w:rsidTr="006E1FA8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82789B3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C81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designs syllabus documents and creates a series of lessons to teach English for a specific purpose,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for people in a specific work setting such as nursing, law, aviation, etc; or a specific social context, e.g. politics, religion, etc.</w:t>
            </w:r>
          </w:p>
        </w:tc>
      </w:tr>
      <w:tr w:rsidR="006E1FA8" w14:paraId="14B561CF" w14:textId="77777777" w:rsidTr="006E1FA8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6A6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>
              <w:rPr>
                <w:rFonts w:cs="Calibri"/>
                <w:sz w:val="20"/>
                <w:szCs w:val="20"/>
              </w:rPr>
              <w:t>below, or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6E1FA8" w14:paraId="001CCE02" w14:textId="77777777" w:rsidTr="006E1FA8">
        <w:trPr>
          <w:gridAfter w:val="1"/>
          <w:wAfter w:w="15" w:type="dxa"/>
          <w:trHeight w:val="4952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D75ED49" w14:textId="77777777" w:rsidR="006E1FA8" w:rsidRDefault="006E1FA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C17D6F3" w14:textId="77777777" w:rsidR="006E1FA8" w:rsidRDefault="006E1FA8" w:rsidP="006E1FA8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1FA8" w14:paraId="713C50FE" w14:textId="77777777" w:rsidTr="006E1FA8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  <w:hideMark/>
          </w:tcPr>
          <w:p w14:paraId="699E1945" w14:textId="77777777" w:rsidR="006E1FA8" w:rsidRDefault="006E1FA8">
            <w:pPr>
              <w:spacing w:line="240" w:lineRule="auto"/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31FC13D0" w14:textId="77777777" w:rsidR="006E1FA8" w:rsidRDefault="006E1FA8" w:rsidP="006E1FA8">
      <w:pPr>
        <w:spacing w:before="120"/>
        <w:rPr>
          <w:rFonts w:cs="Tahoma"/>
          <w:sz w:val="22"/>
        </w:rPr>
      </w:pPr>
      <w:r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you agree that you have responded honestly and accurately to the best of your ability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5670"/>
      </w:tblGrid>
      <w:tr w:rsidR="006E1FA8" w14:paraId="75330F7E" w14:textId="77777777" w:rsidTr="006E1FA8">
        <w:trPr>
          <w:trHeight w:val="454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90F000" w14:textId="77777777" w:rsidR="006E1FA8" w:rsidRDefault="006E1FA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Colleague Name / Signature: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0953F6E3" w14:textId="77777777" w:rsidR="006E1FA8" w:rsidRDefault="006E1FA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E1FA8" w14:paraId="4F50FFDE" w14:textId="77777777" w:rsidTr="006E1FA8">
        <w:trPr>
          <w:trHeight w:val="340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E65B58" w14:textId="77777777" w:rsidR="006E1FA8" w:rsidRDefault="006E1FA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1A4B2181" w14:textId="77777777" w:rsidR="006E1FA8" w:rsidRDefault="006E1FA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89A7BE2" w14:textId="77777777" w:rsidR="00BE2874" w:rsidRPr="006E1FA8" w:rsidRDefault="00BE2874" w:rsidP="006E1FA8"/>
    <w:sectPr w:rsidR="00BE2874" w:rsidRPr="006E1FA8" w:rsidSect="00E9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A"/>
    <w:rsid w:val="00172A83"/>
    <w:rsid w:val="004B2FF6"/>
    <w:rsid w:val="006E1FA8"/>
    <w:rsid w:val="00B92437"/>
    <w:rsid w:val="00BE2874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D7BF"/>
  <w15:chartTrackingRefBased/>
  <w15:docId w15:val="{CF413894-ABFD-456D-AE68-62D434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F1A"/>
    <w:pPr>
      <w:spacing w:line="259" w:lineRule="auto"/>
    </w:pPr>
    <w:rPr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437"/>
    <w:pPr>
      <w:keepNext/>
      <w:keepLines/>
      <w:pBdr>
        <w:left w:val="single" w:sz="12" w:space="12" w:color="293F85" w:themeColor="accent2"/>
      </w:pBdr>
      <w:spacing w:before="80" w:after="80" w:line="240" w:lineRule="auto"/>
      <w:outlineLvl w:val="0"/>
    </w:pPr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37"/>
    <w:pPr>
      <w:keepNext/>
      <w:keepLines/>
      <w:spacing w:before="120" w:after="120" w:line="240" w:lineRule="auto"/>
      <w:outlineLvl w:val="1"/>
    </w:pPr>
    <w:rPr>
      <w:rFonts w:ascii="Roboto" w:eastAsiaTheme="majorEastAsia" w:hAnsi="Roboto" w:cstheme="majorBidi"/>
      <w:b/>
      <w:color w:val="31959F" w:themeColor="accent6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37"/>
    <w:pPr>
      <w:keepNext/>
      <w:keepLines/>
      <w:spacing w:before="80" w:after="0" w:line="240" w:lineRule="auto"/>
      <w:outlineLvl w:val="2"/>
    </w:pPr>
    <w:rPr>
      <w:rFonts w:ascii="Calibri Light" w:eastAsiaTheme="majorEastAsia" w:hAnsi="Calibri Light" w:cstheme="majorBidi"/>
      <w:cap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2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2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37"/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2437"/>
    <w:rPr>
      <w:rFonts w:ascii="Roboto" w:eastAsiaTheme="majorEastAsia" w:hAnsi="Roboto" w:cstheme="majorBidi"/>
      <w:b/>
      <w:color w:val="31959F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2437"/>
    <w:rPr>
      <w:rFonts w:ascii="Calibri Light" w:eastAsiaTheme="majorEastAsia" w:hAnsi="Calibri Light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37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37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37"/>
    <w:pPr>
      <w:spacing w:after="0" w:line="240" w:lineRule="auto"/>
    </w:pPr>
    <w:rPr>
      <w:rFonts w:ascii="Roboto" w:hAnsi="Roboto"/>
      <w:b/>
      <w:bCs/>
      <w:color w:val="293F85" w:themeColor="accent2"/>
      <w:spacing w:val="1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92437"/>
    <w:pPr>
      <w:spacing w:after="0" w:line="240" w:lineRule="auto"/>
      <w:contextualSpacing/>
    </w:pPr>
    <w:rPr>
      <w:rFonts w:ascii="Roboto Black" w:eastAsiaTheme="majorEastAsia" w:hAnsi="Roboto Black" w:cstheme="majorBidi"/>
      <w:caps/>
      <w:color w:val="002060"/>
      <w:spacing w:val="40"/>
      <w:sz w:val="56"/>
      <w:szCs w:val="7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92437"/>
    <w:rPr>
      <w:rFonts w:ascii="Roboto Black" w:eastAsiaTheme="majorEastAsia" w:hAnsi="Roboto Black" w:cstheme="majorBidi"/>
      <w:caps/>
      <w:color w:val="002060"/>
      <w:spacing w:val="40"/>
      <w:sz w:val="5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437"/>
    <w:pPr>
      <w:numPr>
        <w:ilvl w:val="1"/>
      </w:numPr>
      <w:spacing w:after="240" w:line="240" w:lineRule="auto"/>
    </w:pPr>
    <w:rPr>
      <w:rFonts w:ascii="Roboto" w:hAnsi="Roboto"/>
      <w:color w:val="000000" w:themeColor="text1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2437"/>
    <w:rPr>
      <w:rFonts w:ascii="Roboto" w:hAnsi="Roboto"/>
      <w:color w:val="000000" w:themeColor="text1"/>
      <w:sz w:val="24"/>
      <w:szCs w:val="24"/>
    </w:rPr>
  </w:style>
  <w:style w:type="character" w:styleId="Strong">
    <w:name w:val="Strong"/>
    <w:aliases w:val="Heading 2.1"/>
    <w:basedOn w:val="DefaultParagraphFont"/>
    <w:uiPriority w:val="22"/>
    <w:qFormat/>
    <w:rsid w:val="00B924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2437"/>
    <w:rPr>
      <w:rFonts w:asciiTheme="minorHAnsi" w:eastAsiaTheme="minorEastAsia" w:hAnsiTheme="minorHAnsi" w:cstheme="minorBidi"/>
      <w:i/>
      <w:iCs/>
      <w:color w:val="1E2E63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B9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37"/>
  </w:style>
  <w:style w:type="paragraph" w:styleId="ListParagraph">
    <w:name w:val="List Paragraph"/>
    <w:basedOn w:val="Normal"/>
    <w:link w:val="ListParagraphChar"/>
    <w:uiPriority w:val="34"/>
    <w:qFormat/>
    <w:rsid w:val="00B92437"/>
    <w:pPr>
      <w:spacing w:after="0" w:line="240" w:lineRule="auto"/>
      <w:ind w:left="720"/>
      <w:contextualSpacing/>
    </w:pPr>
    <w:rPr>
      <w:rFonts w:ascii="Roboto" w:hAnsi="Roboto"/>
      <w:sz w:val="22"/>
      <w:szCs w:val="21"/>
      <w:lang w:val="en-AU"/>
    </w:rPr>
  </w:style>
  <w:style w:type="character" w:customStyle="1" w:styleId="ListParagraphChar">
    <w:name w:val="List Paragraph Char"/>
    <w:link w:val="ListParagraph"/>
    <w:uiPriority w:val="34"/>
    <w:rsid w:val="00B92437"/>
    <w:rPr>
      <w:rFonts w:ascii="Roboto" w:hAnsi="Robo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2437"/>
    <w:pPr>
      <w:spacing w:before="160" w:after="0" w:line="240" w:lineRule="auto"/>
      <w:ind w:left="72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9243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37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37"/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2437"/>
    <w:rPr>
      <w:rFonts w:asciiTheme="minorHAnsi" w:eastAsiaTheme="minorEastAsia" w:hAnsiTheme="minorHAnsi" w:cstheme="minorBidi"/>
      <w:b/>
      <w:bCs/>
      <w:i/>
      <w:iCs/>
      <w:color w:val="1E2E63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4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24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924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37"/>
    <w:pPr>
      <w:outlineLvl w:val="9"/>
    </w:pPr>
  </w:style>
  <w:style w:type="paragraph" w:customStyle="1" w:styleId="PTANormal">
    <w:name w:val="PTA_Normal"/>
    <w:basedOn w:val="Normal"/>
    <w:link w:val="PTANormalChar"/>
    <w:qFormat/>
    <w:rsid w:val="00E96F1A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E96F1A"/>
    <w:rPr>
      <w:rFonts w:cstheme="minorHAnsi"/>
      <w:noProof/>
      <w:color w:val="262626" w:themeColor="text2"/>
      <w:sz w:val="22"/>
      <w:szCs w:val="2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E96F1A"/>
    <w:pPr>
      <w:spacing w:before="120" w:after="120" w:line="240" w:lineRule="auto"/>
      <w:contextualSpacing/>
    </w:pPr>
    <w:rPr>
      <w:rFonts w:cs="Tahoma"/>
      <w:noProof/>
      <w:color w:val="31959F" w:themeColor="accent6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E96F1A"/>
    <w:rPr>
      <w:rFonts w:cs="Tahoma"/>
      <w:noProof/>
      <w:color w:val="31959F" w:themeColor="accent6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E96F1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Ti 2020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Cooper</dc:creator>
  <cp:keywords/>
  <dc:description/>
  <cp:lastModifiedBy>Daria Cooper</cp:lastModifiedBy>
  <cp:revision>2</cp:revision>
  <cp:lastPrinted>2022-07-08T10:30:00Z</cp:lastPrinted>
  <dcterms:created xsi:type="dcterms:W3CDTF">2022-07-08T10:30:00Z</dcterms:created>
  <dcterms:modified xsi:type="dcterms:W3CDTF">2022-07-08T10:30:00Z</dcterms:modified>
</cp:coreProperties>
</file>